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A601" w14:textId="77777777" w:rsidR="007B2E4D" w:rsidRDefault="006C0FC5">
      <w:pPr>
        <w:pStyle w:val="Heading1"/>
      </w:pPr>
      <w:r>
        <w:t>Governor Report: Year-on-Year Achievement and Progression</w:t>
      </w:r>
    </w:p>
    <w:p w14:paraId="7EDA6520" w14:textId="77777777" w:rsidR="007B2E4D" w:rsidRDefault="006C0FC5">
      <w:pPr>
        <w:pStyle w:val="Heading2"/>
      </w:pPr>
      <w:r>
        <w:t>1. Overview</w:t>
      </w:r>
    </w:p>
    <w:p w14:paraId="1B668AFE" w14:textId="77777777" w:rsidR="007B2E4D" w:rsidRDefault="006C0FC5">
      <w:r>
        <w:t xml:space="preserve">This report presents a comprehensive analysis of Falcons Learning’s learner achievement trends from 2022 to 2025, incorporating the latest verified results. All pending </w:t>
      </w:r>
      <w:r>
        <w:t>certifications have now been confirmed, allowing for a full and accurate comparison. The 2025 outcomes represent a maturing curriculum, increased learner ambition, and an expanded qualification offer up to Level 2, demonstrating significant institutional development and improved capacity to deliver accredited learning across a broader range of abilities.</w:t>
      </w:r>
    </w:p>
    <w:p w14:paraId="47EEEA3F" w14:textId="77777777" w:rsidR="007B2E4D" w:rsidRDefault="006C0FC5">
      <w:pPr>
        <w:pStyle w:val="Heading2"/>
      </w:pPr>
      <w:r>
        <w:t>2. Comparative Overview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440"/>
        <w:gridCol w:w="1440"/>
        <w:gridCol w:w="1440"/>
        <w:gridCol w:w="1440"/>
        <w:gridCol w:w="5808"/>
      </w:tblGrid>
      <w:tr w:rsidR="007B2E4D" w14:paraId="311BCD8B" w14:textId="77777777" w:rsidTr="006C0FC5">
        <w:tc>
          <w:tcPr>
            <w:tcW w:w="1440" w:type="dxa"/>
          </w:tcPr>
          <w:p w14:paraId="339D40AA" w14:textId="77777777" w:rsidR="007B2E4D" w:rsidRDefault="006C0FC5">
            <w:r>
              <w:t>Academic Year</w:t>
            </w:r>
          </w:p>
        </w:tc>
        <w:tc>
          <w:tcPr>
            <w:tcW w:w="1440" w:type="dxa"/>
          </w:tcPr>
          <w:p w14:paraId="32C68211" w14:textId="77777777" w:rsidR="007B2E4D" w:rsidRDefault="006C0FC5">
            <w:r>
              <w:t>Assessments</w:t>
            </w:r>
          </w:p>
        </w:tc>
        <w:tc>
          <w:tcPr>
            <w:tcW w:w="1440" w:type="dxa"/>
          </w:tcPr>
          <w:p w14:paraId="04788485" w14:textId="77777777" w:rsidR="007B2E4D" w:rsidRDefault="006C0FC5">
            <w:r>
              <w:t>Passes</w:t>
            </w:r>
          </w:p>
        </w:tc>
        <w:tc>
          <w:tcPr>
            <w:tcW w:w="1440" w:type="dxa"/>
          </w:tcPr>
          <w:p w14:paraId="1E809A97" w14:textId="77777777" w:rsidR="007B2E4D" w:rsidRDefault="006C0FC5">
            <w:r>
              <w:t>Fails</w:t>
            </w:r>
          </w:p>
        </w:tc>
        <w:tc>
          <w:tcPr>
            <w:tcW w:w="1440" w:type="dxa"/>
          </w:tcPr>
          <w:p w14:paraId="46B75624" w14:textId="77777777" w:rsidR="007B2E4D" w:rsidRDefault="006C0FC5">
            <w:r>
              <w:t>Pass Rate (%)</w:t>
            </w:r>
          </w:p>
        </w:tc>
        <w:tc>
          <w:tcPr>
            <w:tcW w:w="5808" w:type="dxa"/>
          </w:tcPr>
          <w:p w14:paraId="02708144" w14:textId="77777777" w:rsidR="007B2E4D" w:rsidRDefault="006C0FC5">
            <w:r>
              <w:t>Notes</w:t>
            </w:r>
          </w:p>
        </w:tc>
      </w:tr>
      <w:tr w:rsidR="007B2E4D" w14:paraId="08DA3289" w14:textId="77777777" w:rsidTr="006C0FC5">
        <w:tc>
          <w:tcPr>
            <w:tcW w:w="1440" w:type="dxa"/>
          </w:tcPr>
          <w:p w14:paraId="12A91E0D" w14:textId="77777777" w:rsidR="007B2E4D" w:rsidRDefault="006C0FC5">
            <w:r>
              <w:t>2022</w:t>
            </w:r>
          </w:p>
        </w:tc>
        <w:tc>
          <w:tcPr>
            <w:tcW w:w="1440" w:type="dxa"/>
          </w:tcPr>
          <w:p w14:paraId="7CF286F3" w14:textId="77777777" w:rsidR="007B2E4D" w:rsidRDefault="006C0FC5">
            <w:r>
              <w:t>15</w:t>
            </w:r>
          </w:p>
        </w:tc>
        <w:tc>
          <w:tcPr>
            <w:tcW w:w="1440" w:type="dxa"/>
          </w:tcPr>
          <w:p w14:paraId="7F301B40" w14:textId="77777777" w:rsidR="007B2E4D" w:rsidRDefault="006C0FC5">
            <w:r>
              <w:t>12</w:t>
            </w:r>
          </w:p>
        </w:tc>
        <w:tc>
          <w:tcPr>
            <w:tcW w:w="1440" w:type="dxa"/>
          </w:tcPr>
          <w:p w14:paraId="73925391" w14:textId="77777777" w:rsidR="007B2E4D" w:rsidRDefault="006C0FC5">
            <w:r>
              <w:t>3</w:t>
            </w:r>
          </w:p>
        </w:tc>
        <w:tc>
          <w:tcPr>
            <w:tcW w:w="1440" w:type="dxa"/>
          </w:tcPr>
          <w:p w14:paraId="4F9CE27A" w14:textId="77777777" w:rsidR="007B2E4D" w:rsidRDefault="006C0FC5">
            <w:r>
              <w:t>80</w:t>
            </w:r>
          </w:p>
        </w:tc>
        <w:tc>
          <w:tcPr>
            <w:tcW w:w="5808" w:type="dxa"/>
          </w:tcPr>
          <w:p w14:paraId="50A94573" w14:textId="77777777" w:rsidR="007B2E4D" w:rsidRDefault="006C0FC5">
            <w:r>
              <w:t>Small-scale delivery focused on Entry Level Functional Skills.</w:t>
            </w:r>
          </w:p>
        </w:tc>
      </w:tr>
      <w:tr w:rsidR="007B2E4D" w14:paraId="217C8124" w14:textId="77777777" w:rsidTr="006C0FC5">
        <w:tc>
          <w:tcPr>
            <w:tcW w:w="1440" w:type="dxa"/>
          </w:tcPr>
          <w:p w14:paraId="35D15882" w14:textId="77777777" w:rsidR="007B2E4D" w:rsidRDefault="006C0FC5">
            <w:r>
              <w:t>2023</w:t>
            </w:r>
          </w:p>
        </w:tc>
        <w:tc>
          <w:tcPr>
            <w:tcW w:w="1440" w:type="dxa"/>
          </w:tcPr>
          <w:p w14:paraId="3B3D498B" w14:textId="77777777" w:rsidR="007B2E4D" w:rsidRDefault="006C0FC5">
            <w:r>
              <w:t>34</w:t>
            </w:r>
          </w:p>
        </w:tc>
        <w:tc>
          <w:tcPr>
            <w:tcW w:w="1440" w:type="dxa"/>
          </w:tcPr>
          <w:p w14:paraId="393B3CED" w14:textId="77777777" w:rsidR="007B2E4D" w:rsidRDefault="006C0FC5">
            <w:r>
              <w:t>22</w:t>
            </w:r>
          </w:p>
        </w:tc>
        <w:tc>
          <w:tcPr>
            <w:tcW w:w="1440" w:type="dxa"/>
          </w:tcPr>
          <w:p w14:paraId="309D2B5D" w14:textId="77777777" w:rsidR="007B2E4D" w:rsidRDefault="006C0FC5">
            <w:r>
              <w:t>9</w:t>
            </w:r>
          </w:p>
        </w:tc>
        <w:tc>
          <w:tcPr>
            <w:tcW w:w="1440" w:type="dxa"/>
          </w:tcPr>
          <w:p w14:paraId="18954B68" w14:textId="77777777" w:rsidR="007B2E4D" w:rsidRDefault="006C0FC5">
            <w:r>
              <w:t>71</w:t>
            </w:r>
          </w:p>
        </w:tc>
        <w:tc>
          <w:tcPr>
            <w:tcW w:w="5808" w:type="dxa"/>
          </w:tcPr>
          <w:p w14:paraId="327A863C" w14:textId="77777777" w:rsidR="007B2E4D" w:rsidRDefault="006C0FC5">
            <w:r>
              <w:t>Introduction of Entry 3 and Level 1 vocational pathways.</w:t>
            </w:r>
          </w:p>
        </w:tc>
      </w:tr>
      <w:tr w:rsidR="007B2E4D" w14:paraId="5B37E964" w14:textId="77777777" w:rsidTr="006C0FC5">
        <w:tc>
          <w:tcPr>
            <w:tcW w:w="1440" w:type="dxa"/>
          </w:tcPr>
          <w:p w14:paraId="407317A6" w14:textId="77777777" w:rsidR="007B2E4D" w:rsidRDefault="006C0FC5">
            <w:r>
              <w:t>2024</w:t>
            </w:r>
          </w:p>
        </w:tc>
        <w:tc>
          <w:tcPr>
            <w:tcW w:w="1440" w:type="dxa"/>
          </w:tcPr>
          <w:p w14:paraId="1A5EFF6B" w14:textId="77777777" w:rsidR="007B2E4D" w:rsidRDefault="006C0FC5">
            <w:r>
              <w:t>45</w:t>
            </w:r>
          </w:p>
        </w:tc>
        <w:tc>
          <w:tcPr>
            <w:tcW w:w="1440" w:type="dxa"/>
          </w:tcPr>
          <w:p w14:paraId="4979639E" w14:textId="77777777" w:rsidR="007B2E4D" w:rsidRDefault="006C0FC5">
            <w:r>
              <w:t>28</w:t>
            </w:r>
          </w:p>
        </w:tc>
        <w:tc>
          <w:tcPr>
            <w:tcW w:w="1440" w:type="dxa"/>
          </w:tcPr>
          <w:p w14:paraId="50EF83A2" w14:textId="77777777" w:rsidR="007B2E4D" w:rsidRDefault="006C0FC5">
            <w:r>
              <w:t>14</w:t>
            </w:r>
          </w:p>
        </w:tc>
        <w:tc>
          <w:tcPr>
            <w:tcW w:w="1440" w:type="dxa"/>
          </w:tcPr>
          <w:p w14:paraId="0F99B286" w14:textId="77777777" w:rsidR="007B2E4D" w:rsidRDefault="006C0FC5">
            <w:r>
              <w:t>67</w:t>
            </w:r>
          </w:p>
        </w:tc>
        <w:tc>
          <w:tcPr>
            <w:tcW w:w="5808" w:type="dxa"/>
          </w:tcPr>
          <w:p w14:paraId="16627BE6" w14:textId="77777777" w:rsidR="007B2E4D" w:rsidRDefault="006C0FC5">
            <w:r>
              <w:t>Wider offer including Art &amp; Design and Vocational Studies.</w:t>
            </w:r>
          </w:p>
        </w:tc>
      </w:tr>
      <w:tr w:rsidR="007B2E4D" w14:paraId="795B014C" w14:textId="77777777" w:rsidTr="006C0FC5">
        <w:tc>
          <w:tcPr>
            <w:tcW w:w="1440" w:type="dxa"/>
          </w:tcPr>
          <w:p w14:paraId="0B017C12" w14:textId="77777777" w:rsidR="007B2E4D" w:rsidRDefault="006C0FC5">
            <w:r>
              <w:t>2025</w:t>
            </w:r>
          </w:p>
        </w:tc>
        <w:tc>
          <w:tcPr>
            <w:tcW w:w="1440" w:type="dxa"/>
          </w:tcPr>
          <w:p w14:paraId="530170BD" w14:textId="77777777" w:rsidR="007B2E4D" w:rsidRDefault="006C0FC5">
            <w:r>
              <w:t>103</w:t>
            </w:r>
          </w:p>
        </w:tc>
        <w:tc>
          <w:tcPr>
            <w:tcW w:w="1440" w:type="dxa"/>
          </w:tcPr>
          <w:p w14:paraId="794EF752" w14:textId="77777777" w:rsidR="007B2E4D" w:rsidRDefault="006C0FC5">
            <w:r>
              <w:t>81</w:t>
            </w:r>
          </w:p>
        </w:tc>
        <w:tc>
          <w:tcPr>
            <w:tcW w:w="1440" w:type="dxa"/>
          </w:tcPr>
          <w:p w14:paraId="6572FDDF" w14:textId="77777777" w:rsidR="007B2E4D" w:rsidRDefault="006C0FC5">
            <w:r>
              <w:t>22</w:t>
            </w:r>
          </w:p>
        </w:tc>
        <w:tc>
          <w:tcPr>
            <w:tcW w:w="1440" w:type="dxa"/>
          </w:tcPr>
          <w:p w14:paraId="0782423C" w14:textId="77777777" w:rsidR="007B2E4D" w:rsidRDefault="006C0FC5">
            <w:r>
              <w:t>79</w:t>
            </w:r>
          </w:p>
        </w:tc>
        <w:tc>
          <w:tcPr>
            <w:tcW w:w="5808" w:type="dxa"/>
          </w:tcPr>
          <w:p w14:paraId="2B33B2B1" w14:textId="77777777" w:rsidR="007B2E4D" w:rsidRDefault="006C0FC5">
            <w:r>
              <w:t xml:space="preserve">All certifications now complete; new Level 2 awards successfully </w:t>
            </w:r>
            <w:r>
              <w:t>delivered.</w:t>
            </w:r>
          </w:p>
        </w:tc>
      </w:tr>
    </w:tbl>
    <w:p w14:paraId="334DA803" w14:textId="77777777" w:rsidR="007B2E4D" w:rsidRDefault="006C0FC5">
      <w:r>
        <w:t>The 2025 pass rate has risen to 79%, returning to near-2022 levels despite a sevenfold increase in assessment entries. The breadth of qualifications has expanded dramatically, including Functional Skills, Vocational Studies, Creative Arts, and Level 2 Occupational Awards. This progress marks a transition from foundational to ambitious, career-relevant learning pathways.</w:t>
      </w:r>
    </w:p>
    <w:p w14:paraId="1BE096EC" w14:textId="77777777" w:rsidR="006C0FC5" w:rsidRDefault="006C0FC5"/>
    <w:p w14:paraId="4533480B" w14:textId="77777777" w:rsidR="007B2E4D" w:rsidRDefault="006C0FC5">
      <w:pPr>
        <w:pStyle w:val="Heading2"/>
      </w:pPr>
      <w:r>
        <w:lastRenderedPageBreak/>
        <w:t>3. Key Highlights for 2025</w:t>
      </w:r>
    </w:p>
    <w:p w14:paraId="5B5F9660" w14:textId="77777777" w:rsidR="007B2E4D" w:rsidRDefault="006C0FC5">
      <w:r>
        <w:t>• Growth in Assessment Volume and Ambition – Total assessments rose from 15 (2022) to 103 (2025), reflecting expansion and learner confidence.</w:t>
      </w:r>
    </w:p>
    <w:p w14:paraId="7D18CC8B" w14:textId="77777777" w:rsidR="007B2E4D" w:rsidRDefault="006C0FC5">
      <w:r>
        <w:t>• Sustained Achievement in Core Skills – Functional Skills English and Maths maintained high success rates across Entry to Level 1.</w:t>
      </w:r>
    </w:p>
    <w:p w14:paraId="3B6BF160" w14:textId="77777777" w:rsidR="007B2E4D" w:rsidRDefault="006C0FC5">
      <w:r>
        <w:t>• Expansion into Vocational and Creative Pathways – Vocational Studies and Art &amp; Design programmes fully embedded with strong achievement outcomes.</w:t>
      </w:r>
    </w:p>
    <w:p w14:paraId="3717B389" w14:textId="77777777" w:rsidR="007B2E4D" w:rsidRDefault="006C0FC5">
      <w:r>
        <w:t>• Maturity in Quality Assurance – Improved internal moderation and external verification ensuring higher completion rates and reliability.</w:t>
      </w:r>
    </w:p>
    <w:p w14:paraId="234F696F" w14:textId="77777777" w:rsidR="007B2E4D" w:rsidRDefault="006C0FC5">
      <w:pPr>
        <w:pStyle w:val="Heading2"/>
      </w:pPr>
      <w:r>
        <w:t>4. Strategic Analysis</w:t>
      </w:r>
    </w:p>
    <w:p w14:paraId="388C98EC" w14:textId="77777777" w:rsidR="007B2E4D" w:rsidRDefault="006C0FC5">
      <w:r>
        <w:t>Falcons Learning’s 2025 results demonstrate not just sustained achievement, but qualitative growth—learners are succeeding at higher levels and within more complex qualifications. The school’s ambition to move learners from Entry Level foundations to Level 2 competence is now a reality.</w:t>
      </w:r>
    </w:p>
    <w:p w14:paraId="04D36829" w14:textId="77777777" w:rsidR="007B2E4D" w:rsidRDefault="006C0FC5">
      <w:r>
        <w:t>The organisation now delivers five times more qualification types across three academic levels (Entry to Level 2), supported by robust quality-assurance systems. Learners leaving Falcons Learning now have meaningful accredited outcomes that reflect both academic and vocational readiness, increasing progression opportunities.</w:t>
      </w:r>
    </w:p>
    <w:p w14:paraId="3D4F98E1" w14:textId="77777777" w:rsidR="007B2E4D" w:rsidRDefault="006C0FC5">
      <w:pPr>
        <w:pStyle w:val="Heading2"/>
      </w:pPr>
      <w:r>
        <w:t>5. Recommendations for Continued Success</w:t>
      </w:r>
    </w:p>
    <w:p w14:paraId="31A8BB1E" w14:textId="77777777" w:rsidR="007B2E4D" w:rsidRDefault="006C0FC5">
      <w:r>
        <w:t>1. Consolidate Level 2 Provision – Continue embedding Level 2 vocational delivery with ongoing staff development.</w:t>
      </w:r>
    </w:p>
    <w:p w14:paraId="311F3D66" w14:textId="77777777" w:rsidR="007B2E4D" w:rsidRDefault="006C0FC5">
      <w:r>
        <w:t xml:space="preserve">2. Monitor </w:t>
      </w:r>
      <w:r>
        <w:t>Curriculum Balance – Maintain strong Entry-level foundations while stretching higher-ability learners.</w:t>
      </w:r>
    </w:p>
    <w:p w14:paraId="1683412F" w14:textId="77777777" w:rsidR="007B2E4D" w:rsidRDefault="006C0FC5">
      <w:r>
        <w:t>3. Develop Data Dashboards – Present termly achievement data by level, subject, and learner profile for real-time tracking.</w:t>
      </w:r>
    </w:p>
    <w:p w14:paraId="4468545B" w14:textId="77777777" w:rsidR="007B2E4D" w:rsidRDefault="006C0FC5">
      <w:r>
        <w:t>4. Deepen Employer Links – Strengthen partnerships for work placements and applied learning experiences at Level 2.</w:t>
      </w:r>
    </w:p>
    <w:p w14:paraId="71790E4F" w14:textId="77777777" w:rsidR="007B2E4D" w:rsidRDefault="006C0FC5">
      <w:pPr>
        <w:pStyle w:val="Heading2"/>
      </w:pPr>
      <w:r>
        <w:lastRenderedPageBreak/>
        <w:t>6. Summary for Governors</w:t>
      </w:r>
    </w:p>
    <w:p w14:paraId="4C26D214" w14:textId="77777777" w:rsidR="007B2E4D" w:rsidRDefault="006C0FC5">
      <w:r>
        <w:t>The 2025 achievement data demonstrates significant institutional maturity and a transformative increase in learner outcomes. All pending results have now been confirmed, raising the overall pass rate to 79%—the highest since expansion began. This improvement, achieved alongside growth in cohort size and qualification breadth, highlights Falcons Learning’s progression from a foundational Entry-level provider to a robust, multi-pathway school delivering recognised qualifications up to Level 2. Governors can b</w:t>
      </w:r>
      <w:r>
        <w:t>e assured that the school’s current trajectory is strategically positive, with achievement, ambition, and quality assurance now operating in full alignment.</w:t>
      </w:r>
    </w:p>
    <w:sectPr w:rsidR="007B2E4D" w:rsidSect="006C0FC5">
      <w:footerReference w:type="default" r:id="rId8"/>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1C1D3" w14:textId="77777777" w:rsidR="006C0FC5" w:rsidRDefault="006C0FC5" w:rsidP="006C0FC5">
      <w:pPr>
        <w:spacing w:after="0" w:line="240" w:lineRule="auto"/>
      </w:pPr>
      <w:r>
        <w:separator/>
      </w:r>
    </w:p>
  </w:endnote>
  <w:endnote w:type="continuationSeparator" w:id="0">
    <w:p w14:paraId="1B2170F6" w14:textId="77777777" w:rsidR="006C0FC5" w:rsidRDefault="006C0FC5" w:rsidP="006C0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369888"/>
      <w:docPartObj>
        <w:docPartGallery w:val="Page Numbers (Bottom of Page)"/>
        <w:docPartUnique/>
      </w:docPartObj>
    </w:sdtPr>
    <w:sdtContent>
      <w:p w14:paraId="60CD29E1" w14:textId="039D71E3" w:rsidR="006C0FC5" w:rsidRDefault="006C0FC5">
        <w:pPr>
          <w:pStyle w:val="Footer"/>
          <w:jc w:val="center"/>
        </w:pPr>
        <w:r>
          <w:fldChar w:fldCharType="begin"/>
        </w:r>
        <w:r>
          <w:instrText>PAGE   \* MERGEFORMAT</w:instrText>
        </w:r>
        <w:r>
          <w:fldChar w:fldCharType="separate"/>
        </w:r>
        <w:r>
          <w:rPr>
            <w:lang w:val="en-GB"/>
          </w:rPr>
          <w:t>2</w:t>
        </w:r>
        <w:r>
          <w:fldChar w:fldCharType="end"/>
        </w:r>
      </w:p>
    </w:sdtContent>
  </w:sdt>
  <w:p w14:paraId="6BCD85E4" w14:textId="77777777" w:rsidR="006C0FC5" w:rsidRDefault="006C0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830BA" w14:textId="77777777" w:rsidR="006C0FC5" w:rsidRDefault="006C0FC5" w:rsidP="006C0FC5">
      <w:pPr>
        <w:spacing w:after="0" w:line="240" w:lineRule="auto"/>
      </w:pPr>
      <w:r>
        <w:separator/>
      </w:r>
    </w:p>
  </w:footnote>
  <w:footnote w:type="continuationSeparator" w:id="0">
    <w:p w14:paraId="78704732" w14:textId="77777777" w:rsidR="006C0FC5" w:rsidRDefault="006C0FC5" w:rsidP="006C0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70518722">
    <w:abstractNumId w:val="8"/>
  </w:num>
  <w:num w:numId="2" w16cid:durableId="487140411">
    <w:abstractNumId w:val="6"/>
  </w:num>
  <w:num w:numId="3" w16cid:durableId="1960988915">
    <w:abstractNumId w:val="5"/>
  </w:num>
  <w:num w:numId="4" w16cid:durableId="1968312248">
    <w:abstractNumId w:val="4"/>
  </w:num>
  <w:num w:numId="5" w16cid:durableId="719406835">
    <w:abstractNumId w:val="7"/>
  </w:num>
  <w:num w:numId="6" w16cid:durableId="1374042844">
    <w:abstractNumId w:val="3"/>
  </w:num>
  <w:num w:numId="7" w16cid:durableId="324632303">
    <w:abstractNumId w:val="2"/>
  </w:num>
  <w:num w:numId="8" w16cid:durableId="1877888214">
    <w:abstractNumId w:val="1"/>
  </w:num>
  <w:num w:numId="9" w16cid:durableId="995181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C0FC5"/>
    <w:rsid w:val="007B2E4D"/>
    <w:rsid w:val="008558A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F7956A"/>
  <w14:defaultImageDpi w14:val="300"/>
  <w15:docId w15:val="{DE7AE988-AEB6-4989-85BB-9D02A674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AC114AED8E4C442AE8C652AADD8DF79" ma:contentTypeVersion="13" ma:contentTypeDescription="Create a new document." ma:contentTypeScope="" ma:versionID="736371f7e261cac19af90903546bfd6b">
  <xsd:schema xmlns:xsd="http://www.w3.org/2001/XMLSchema" xmlns:xs="http://www.w3.org/2001/XMLSchema" xmlns:p="http://schemas.microsoft.com/office/2006/metadata/properties" xmlns:ns2="cbb2738a-912c-4861-99f7-340ce0e058a3" xmlns:ns3="67aa2bac-779f-4925-9b6b-b68f1e63935b" targetNamespace="http://schemas.microsoft.com/office/2006/metadata/properties" ma:root="true" ma:fieldsID="b50ac601f9be169074c042a4373e7150" ns2:_="" ns3:_="">
    <xsd:import namespace="cbb2738a-912c-4861-99f7-340ce0e058a3"/>
    <xsd:import namespace="67aa2bac-779f-4925-9b6b-b68f1e6393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2738a-912c-4861-99f7-340ce0e05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d3ccb5-533f-4fb5-9238-67503f060a6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aa2bac-779f-4925-9b6b-b68f1e63935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0c8d2c9-1583-478a-8386-7cc1b90721e4}" ma:internalName="TaxCatchAll" ma:showField="CatchAllData" ma:web="67aa2bac-779f-4925-9b6b-b68f1e6393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b2738a-912c-4861-99f7-340ce0e058a3">
      <Terms xmlns="http://schemas.microsoft.com/office/infopath/2007/PartnerControls"/>
    </lcf76f155ced4ddcb4097134ff3c332f>
    <TaxCatchAll xmlns="67aa2bac-779f-4925-9b6b-b68f1e63935b"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AE4C359-DF43-4FD5-BCEA-9BFD847378DD}"/>
</file>

<file path=customXml/itemProps3.xml><?xml version="1.0" encoding="utf-8"?>
<ds:datastoreItem xmlns:ds="http://schemas.openxmlformats.org/officeDocument/2006/customXml" ds:itemID="{0F827EF9-9950-42F8-90E2-400D3E3325D7}"/>
</file>

<file path=customXml/itemProps4.xml><?xml version="1.0" encoding="utf-8"?>
<ds:datastoreItem xmlns:ds="http://schemas.openxmlformats.org/officeDocument/2006/customXml" ds:itemID="{479156C8-457C-4A9A-BB0C-FC2A031AC5A7}"/>
</file>

<file path=docProps/app.xml><?xml version="1.0" encoding="utf-8"?>
<Properties xmlns="http://schemas.openxmlformats.org/officeDocument/2006/extended-properties" xmlns:vt="http://schemas.openxmlformats.org/officeDocument/2006/docPropsVTypes">
  <Template>Normal.dotm</Template>
  <TotalTime>1</TotalTime>
  <Pages>3</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Steve Wash</cp:lastModifiedBy>
  <cp:revision>2</cp:revision>
  <dcterms:created xsi:type="dcterms:W3CDTF">2025-11-10T18:14:00Z</dcterms:created>
  <dcterms:modified xsi:type="dcterms:W3CDTF">2025-11-10T18:14:00Z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0x0101006AC114AED8E4C442AE8C652AADD8DF79</vt:lpwstr>
  </property>
</Properties>
</file>